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4868E" w14:textId="77777777" w:rsidR="00B42CEC" w:rsidRPr="00B42CEC" w:rsidRDefault="00B42CEC">
      <w:pPr>
        <w:rPr>
          <w:i/>
          <w:iCs/>
          <w:color w:val="B22600" w:themeColor="accent6"/>
          <w:sz w:val="28"/>
          <w:szCs w:val="28"/>
        </w:rPr>
      </w:pPr>
      <w:r w:rsidRPr="00B42CEC">
        <w:rPr>
          <w:i/>
          <w:iCs/>
          <w:color w:val="B22600" w:themeColor="accent6"/>
          <w:sz w:val="28"/>
          <w:szCs w:val="28"/>
        </w:rPr>
        <w:t>Purpose</w:t>
      </w:r>
    </w:p>
    <w:p w14:paraId="2AB61867" w14:textId="12124049" w:rsidR="00801127" w:rsidRPr="00C54EB9" w:rsidRDefault="00B42CEC" w:rsidP="00A23EFF">
      <w:pPr>
        <w:spacing w:before="120" w:after="120"/>
        <w:jc w:val="both"/>
        <w:rPr>
          <w:sz w:val="22"/>
        </w:rPr>
      </w:pPr>
      <w:r w:rsidRPr="00C54EB9">
        <w:rPr>
          <w:sz w:val="22"/>
        </w:rPr>
        <w:t xml:space="preserve">The purpose of the Pinellas Working Capital Fund </w:t>
      </w:r>
      <w:r w:rsidR="00A23EFF" w:rsidRPr="00C54EB9">
        <w:rPr>
          <w:sz w:val="22"/>
        </w:rPr>
        <w:t xml:space="preserve">(Fund) </w:t>
      </w:r>
      <w:r w:rsidRPr="00C54EB9">
        <w:rPr>
          <w:sz w:val="22"/>
        </w:rPr>
        <w:t xml:space="preserve">is to provide reasonable and ready access to working capital to nonprofits that could face operational or financial difficulty implementing Pinellas CARES Nonprofit Partnership Fund </w:t>
      </w:r>
      <w:r w:rsidR="004575B4" w:rsidRPr="00C54EB9">
        <w:rPr>
          <w:sz w:val="22"/>
        </w:rPr>
        <w:t xml:space="preserve">(PCNPF) </w:t>
      </w:r>
      <w:r w:rsidRPr="00C54EB9">
        <w:rPr>
          <w:sz w:val="22"/>
        </w:rPr>
        <w:t xml:space="preserve">grants awarded on a </w:t>
      </w:r>
      <w:r w:rsidR="00C54EB9">
        <w:rPr>
          <w:sz w:val="22"/>
        </w:rPr>
        <w:t>cost-</w:t>
      </w:r>
      <w:r w:rsidRPr="00C54EB9">
        <w:rPr>
          <w:sz w:val="22"/>
        </w:rPr>
        <w:t>reimbursement</w:t>
      </w:r>
      <w:r w:rsidR="00C54EB9">
        <w:rPr>
          <w:sz w:val="22"/>
        </w:rPr>
        <w:t xml:space="preserve"> </w:t>
      </w:r>
      <w:r w:rsidRPr="00C54EB9">
        <w:rPr>
          <w:sz w:val="22"/>
        </w:rPr>
        <w:t>basis.</w:t>
      </w:r>
    </w:p>
    <w:p w14:paraId="2B41706D" w14:textId="10547D83" w:rsidR="00A23EFF" w:rsidRPr="00A23EFF" w:rsidRDefault="00A23EFF" w:rsidP="00A23EFF">
      <w:pPr>
        <w:spacing w:before="120" w:after="120"/>
        <w:jc w:val="both"/>
        <w:rPr>
          <w:i/>
          <w:iCs/>
          <w:color w:val="B22600" w:themeColor="accent6"/>
          <w:sz w:val="28"/>
          <w:szCs w:val="28"/>
        </w:rPr>
      </w:pPr>
      <w:r>
        <w:rPr>
          <w:i/>
          <w:iCs/>
          <w:color w:val="B22600" w:themeColor="accent6"/>
          <w:sz w:val="28"/>
          <w:szCs w:val="28"/>
        </w:rPr>
        <w:t>Brief Description</w:t>
      </w:r>
    </w:p>
    <w:p w14:paraId="145FCC88" w14:textId="2D06BE11" w:rsidR="00A23EFF" w:rsidRDefault="004575B4" w:rsidP="00C54EB9">
      <w:pPr>
        <w:jc w:val="both"/>
        <w:rPr>
          <w:sz w:val="22"/>
        </w:rPr>
      </w:pPr>
      <w:r w:rsidRPr="00C54EB9">
        <w:rPr>
          <w:sz w:val="22"/>
        </w:rPr>
        <w:t>Loans received from the Fund are l</w:t>
      </w:r>
      <w:r w:rsidR="00A23EFF" w:rsidRPr="00C54EB9">
        <w:rPr>
          <w:sz w:val="22"/>
        </w:rPr>
        <w:t xml:space="preserve">imited to </w:t>
      </w:r>
      <w:r w:rsidR="005E0F34">
        <w:rPr>
          <w:b/>
          <w:bCs/>
          <w:sz w:val="22"/>
        </w:rPr>
        <w:t>25</w:t>
      </w:r>
      <w:r w:rsidR="00A23EFF" w:rsidRPr="005E0F34">
        <w:rPr>
          <w:b/>
          <w:bCs/>
          <w:sz w:val="22"/>
        </w:rPr>
        <w:t>%</w:t>
      </w:r>
      <w:r w:rsidR="00A23EFF" w:rsidRPr="00C54EB9">
        <w:rPr>
          <w:sz w:val="22"/>
        </w:rPr>
        <w:t xml:space="preserve"> of the </w:t>
      </w:r>
      <w:r w:rsidR="00A23EFF" w:rsidRPr="00C54EB9">
        <w:rPr>
          <w:b/>
          <w:bCs/>
          <w:sz w:val="22"/>
        </w:rPr>
        <w:t>total</w:t>
      </w:r>
      <w:r w:rsidR="00A23EFF" w:rsidRPr="00C54EB9">
        <w:rPr>
          <w:sz w:val="22"/>
        </w:rPr>
        <w:t xml:space="preserve"> funds awarded in the </w:t>
      </w:r>
      <w:r w:rsidRPr="00C54EB9">
        <w:rPr>
          <w:sz w:val="22"/>
        </w:rPr>
        <w:t>PCNPF</w:t>
      </w:r>
      <w:r w:rsidR="00A23EFF" w:rsidRPr="00C54EB9">
        <w:rPr>
          <w:sz w:val="22"/>
        </w:rPr>
        <w:t xml:space="preserve"> grant agreement</w:t>
      </w:r>
      <w:r w:rsidRPr="00C54EB9">
        <w:rPr>
          <w:sz w:val="22"/>
        </w:rPr>
        <w:t xml:space="preserve">. The loan amount is fully recoverable – 100% of the loan amount must be repaid </w:t>
      </w:r>
      <w:r w:rsidRPr="00C54EB9">
        <w:rPr>
          <w:b/>
          <w:bCs/>
          <w:sz w:val="22"/>
        </w:rPr>
        <w:t>15</w:t>
      </w:r>
      <w:r w:rsidRPr="00C54EB9">
        <w:rPr>
          <w:sz w:val="22"/>
        </w:rPr>
        <w:t xml:space="preserve"> days after closeout or termination of the PCNPF grant. </w:t>
      </w:r>
      <w:r w:rsidR="00C54EB9" w:rsidRPr="00C54EB9">
        <w:rPr>
          <w:sz w:val="22"/>
        </w:rPr>
        <w:t xml:space="preserve">There are </w:t>
      </w:r>
      <w:r w:rsidR="00C54EB9" w:rsidRPr="00C54EB9">
        <w:rPr>
          <w:b/>
          <w:bCs/>
          <w:sz w:val="22"/>
        </w:rPr>
        <w:t>NO</w:t>
      </w:r>
      <w:r w:rsidR="00C54EB9" w:rsidRPr="00C54EB9">
        <w:rPr>
          <w:sz w:val="22"/>
        </w:rPr>
        <w:t xml:space="preserve"> additional funds due </w:t>
      </w:r>
      <w:r w:rsidR="00C54EB9">
        <w:rPr>
          <w:sz w:val="22"/>
        </w:rPr>
        <w:t xml:space="preserve">prior to or </w:t>
      </w:r>
      <w:r w:rsidR="00C54EB9" w:rsidRPr="00C54EB9">
        <w:rPr>
          <w:sz w:val="22"/>
        </w:rPr>
        <w:t>upon repayment</w:t>
      </w:r>
      <w:r w:rsidR="00C54EB9">
        <w:rPr>
          <w:sz w:val="22"/>
        </w:rPr>
        <w:t>, such as fees, charges, or interest.</w:t>
      </w:r>
      <w:r w:rsidR="002924BB">
        <w:rPr>
          <w:sz w:val="22"/>
        </w:rPr>
        <w:t xml:space="preserve"> </w:t>
      </w:r>
      <w:r w:rsidR="002924BB" w:rsidRPr="002924BB">
        <w:rPr>
          <w:b/>
          <w:bCs/>
          <w:sz w:val="22"/>
        </w:rPr>
        <w:t>Loan recipients must remain in compliance with the terms and conditions of the PCNPF grant</w:t>
      </w:r>
      <w:r w:rsidR="00500D7B">
        <w:rPr>
          <w:b/>
          <w:bCs/>
          <w:sz w:val="22"/>
        </w:rPr>
        <w:t xml:space="preserve"> and the Loan Agreement</w:t>
      </w:r>
      <w:r w:rsidR="002924BB" w:rsidRPr="002924BB">
        <w:rPr>
          <w:b/>
          <w:bCs/>
          <w:sz w:val="22"/>
        </w:rPr>
        <w:t>.</w:t>
      </w:r>
    </w:p>
    <w:p w14:paraId="52DF106A" w14:textId="77777777" w:rsidR="005767E8" w:rsidRPr="00B42CEC" w:rsidRDefault="005767E8" w:rsidP="005767E8">
      <w:pPr>
        <w:spacing w:before="120" w:after="120"/>
        <w:jc w:val="both"/>
        <w:rPr>
          <w:i/>
          <w:iCs/>
          <w:color w:val="B22600" w:themeColor="accent6"/>
          <w:sz w:val="28"/>
          <w:szCs w:val="28"/>
        </w:rPr>
      </w:pPr>
      <w:r w:rsidRPr="00B42CEC">
        <w:rPr>
          <w:i/>
          <w:iCs/>
          <w:color w:val="B22600" w:themeColor="accent6"/>
          <w:sz w:val="28"/>
          <w:szCs w:val="28"/>
        </w:rPr>
        <w:t>Eligibility</w:t>
      </w:r>
      <w:r>
        <w:rPr>
          <w:i/>
          <w:iCs/>
          <w:color w:val="B22600" w:themeColor="accent6"/>
          <w:sz w:val="28"/>
          <w:szCs w:val="28"/>
        </w:rPr>
        <w:t xml:space="preserve"> (Please Affirm)</w:t>
      </w:r>
    </w:p>
    <w:p w14:paraId="6A20B016" w14:textId="54B08030" w:rsidR="005767E8" w:rsidRPr="00500D7B" w:rsidRDefault="00A25EC5" w:rsidP="007B09F4">
      <w:pPr>
        <w:ind w:left="360"/>
        <w:rPr>
          <w:sz w:val="22"/>
        </w:rPr>
      </w:pPr>
      <w:sdt>
        <w:sdtPr>
          <w:rPr>
            <w:sz w:val="22"/>
          </w:rPr>
          <w:id w:val="212942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7E8" w:rsidRPr="00500D7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67E8" w:rsidRPr="00500D7B">
        <w:rPr>
          <w:sz w:val="22"/>
        </w:rPr>
        <w:t xml:space="preserve"> </w:t>
      </w:r>
      <w:r w:rsidR="005767E8" w:rsidRPr="00500D7B">
        <w:rPr>
          <w:sz w:val="22"/>
        </w:rPr>
        <w:tab/>
      </w:r>
      <w:r w:rsidR="007B09F4" w:rsidRPr="00500D7B">
        <w:rPr>
          <w:sz w:val="22"/>
        </w:rPr>
        <w:t xml:space="preserve">Recipient of a grant </w:t>
      </w:r>
      <w:r w:rsidR="005767E8" w:rsidRPr="00500D7B">
        <w:rPr>
          <w:sz w:val="22"/>
        </w:rPr>
        <w:t>from the Pinellas CARES Nonprofit Partnership Fund</w:t>
      </w:r>
    </w:p>
    <w:p w14:paraId="031026EB" w14:textId="72EAA6EB" w:rsidR="005767E8" w:rsidRPr="00500D7B" w:rsidRDefault="00A25EC5" w:rsidP="007B09F4">
      <w:pPr>
        <w:ind w:left="360"/>
        <w:rPr>
          <w:sz w:val="22"/>
        </w:rPr>
      </w:pPr>
      <w:sdt>
        <w:sdtPr>
          <w:rPr>
            <w:sz w:val="22"/>
          </w:rPr>
          <w:id w:val="187597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F4" w:rsidRPr="00500D7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67E8" w:rsidRPr="00500D7B">
        <w:rPr>
          <w:sz w:val="22"/>
        </w:rPr>
        <w:tab/>
        <w:t xml:space="preserve">Determined to be only eligible for </w:t>
      </w:r>
      <w:r w:rsidR="007B09F4" w:rsidRPr="00500D7B">
        <w:rPr>
          <w:sz w:val="22"/>
        </w:rPr>
        <w:t>funding on a cost-</w:t>
      </w:r>
      <w:r w:rsidR="005767E8" w:rsidRPr="00500D7B">
        <w:rPr>
          <w:sz w:val="22"/>
        </w:rPr>
        <w:t>reimbursement</w:t>
      </w:r>
      <w:r w:rsidR="007B09F4" w:rsidRPr="00500D7B">
        <w:rPr>
          <w:sz w:val="22"/>
        </w:rPr>
        <w:t xml:space="preserve"> basi</w:t>
      </w:r>
      <w:r w:rsidR="005767E8" w:rsidRPr="00500D7B">
        <w:rPr>
          <w:sz w:val="22"/>
        </w:rPr>
        <w:t>s</w:t>
      </w:r>
    </w:p>
    <w:p w14:paraId="114E241C" w14:textId="433ABF72" w:rsidR="00C54EB9" w:rsidRPr="002924BB" w:rsidRDefault="002924BB" w:rsidP="00C54EB9">
      <w:pPr>
        <w:spacing w:before="120" w:after="120"/>
        <w:jc w:val="both"/>
        <w:rPr>
          <w:i/>
          <w:iCs/>
          <w:color w:val="B22600" w:themeColor="accent6"/>
          <w:sz w:val="28"/>
          <w:szCs w:val="28"/>
        </w:rPr>
      </w:pPr>
      <w:r w:rsidRPr="002924BB">
        <w:rPr>
          <w:i/>
          <w:iCs/>
          <w:color w:val="B22600" w:themeColor="accent6"/>
          <w:sz w:val="28"/>
          <w:szCs w:val="28"/>
        </w:rPr>
        <w:t>Request</w:t>
      </w:r>
    </w:p>
    <w:p w14:paraId="3ACD44E3" w14:textId="50726CF5" w:rsidR="00A23EFF" w:rsidRPr="00500D7B" w:rsidRDefault="00A23EFF" w:rsidP="00B42CEC">
      <w:pPr>
        <w:jc w:val="both"/>
        <w:rPr>
          <w:sz w:val="22"/>
        </w:rPr>
      </w:pPr>
      <w:r w:rsidRPr="00500D7B">
        <w:rPr>
          <w:sz w:val="22"/>
        </w:rPr>
        <w:t>Name of Applicant:</w:t>
      </w:r>
      <w:r w:rsidR="002924BB" w:rsidRPr="00500D7B">
        <w:rPr>
          <w:sz w:val="22"/>
        </w:rPr>
        <w:tab/>
      </w:r>
      <w:r w:rsidR="002924BB" w:rsidRPr="00500D7B">
        <w:rPr>
          <w:sz w:val="22"/>
        </w:rPr>
        <w:tab/>
        <w:t>_____________________________________________</w:t>
      </w:r>
    </w:p>
    <w:p w14:paraId="53389671" w14:textId="0921AF68" w:rsidR="001874AD" w:rsidRPr="00500D7B" w:rsidRDefault="001874AD" w:rsidP="002924BB">
      <w:pPr>
        <w:spacing w:before="120" w:after="120"/>
        <w:jc w:val="both"/>
        <w:rPr>
          <w:sz w:val="22"/>
        </w:rPr>
      </w:pPr>
      <w:r w:rsidRPr="00500D7B">
        <w:rPr>
          <w:sz w:val="22"/>
        </w:rPr>
        <w:t>Total PCNPF Grant Amount:</w:t>
      </w:r>
      <w:r w:rsidRPr="00500D7B">
        <w:rPr>
          <w:sz w:val="22"/>
        </w:rPr>
        <w:tab/>
        <w:t>__________________________</w:t>
      </w:r>
    </w:p>
    <w:p w14:paraId="783F1AD3" w14:textId="4B13D754" w:rsidR="001874AD" w:rsidRPr="00500D7B" w:rsidRDefault="002924BB" w:rsidP="002924BB">
      <w:pPr>
        <w:spacing w:before="120" w:after="120"/>
        <w:jc w:val="both"/>
        <w:rPr>
          <w:sz w:val="22"/>
        </w:rPr>
      </w:pPr>
      <w:r w:rsidRPr="00500D7B">
        <w:rPr>
          <w:sz w:val="22"/>
        </w:rPr>
        <w:t>Loan Amount Requested:</w:t>
      </w:r>
      <w:r w:rsidRPr="00500D7B">
        <w:rPr>
          <w:sz w:val="22"/>
        </w:rPr>
        <w:tab/>
        <w:t>__________________________</w:t>
      </w:r>
    </w:p>
    <w:p w14:paraId="34241A2F" w14:textId="726A3C77" w:rsidR="002924BB" w:rsidRPr="00500D7B" w:rsidRDefault="002924BB" w:rsidP="002924BB">
      <w:pPr>
        <w:spacing w:before="120" w:after="120"/>
        <w:jc w:val="both"/>
        <w:rPr>
          <w:sz w:val="22"/>
        </w:rPr>
      </w:pPr>
      <w:r w:rsidRPr="00500D7B">
        <w:rPr>
          <w:sz w:val="22"/>
        </w:rPr>
        <w:t>Cash Flow Projection</w:t>
      </w:r>
      <w:r w:rsidR="0082514E">
        <w:rPr>
          <w:sz w:val="22"/>
        </w:rPr>
        <w:t xml:space="preserve"> (High-Level Analysis)</w:t>
      </w:r>
      <w:r w:rsidRPr="00500D7B">
        <w:rPr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7"/>
        <w:gridCol w:w="1026"/>
        <w:gridCol w:w="1268"/>
        <w:gridCol w:w="1240"/>
        <w:gridCol w:w="989"/>
      </w:tblGrid>
      <w:tr w:rsidR="00362CB9" w14:paraId="0FB636F4" w14:textId="77777777" w:rsidTr="00500D7B">
        <w:trPr>
          <w:trHeight w:hRule="exact" w:val="360"/>
        </w:trPr>
        <w:tc>
          <w:tcPr>
            <w:tcW w:w="4945" w:type="dxa"/>
            <w:vAlign w:val="center"/>
          </w:tcPr>
          <w:p w14:paraId="6606D0FE" w14:textId="77777777" w:rsidR="00362CB9" w:rsidRPr="00500D7B" w:rsidRDefault="00362CB9" w:rsidP="00500D7B">
            <w:pPr>
              <w:jc w:val="both"/>
              <w:rPr>
                <w:b/>
                <w:bCs/>
              </w:rPr>
            </w:pPr>
          </w:p>
        </w:tc>
        <w:tc>
          <w:tcPr>
            <w:tcW w:w="293" w:type="dxa"/>
            <w:vAlign w:val="center"/>
          </w:tcPr>
          <w:p w14:paraId="2E8C953D" w14:textId="337332FC" w:rsidR="00362CB9" w:rsidRPr="00500D7B" w:rsidRDefault="003E6700" w:rsidP="00500D7B">
            <w:pPr>
              <w:jc w:val="both"/>
              <w:rPr>
                <w:b/>
                <w:bCs/>
              </w:rPr>
            </w:pPr>
            <w:r w:rsidRPr="00500D7B">
              <w:rPr>
                <w:b/>
                <w:bCs/>
              </w:rPr>
              <w:t>October</w:t>
            </w:r>
          </w:p>
        </w:tc>
        <w:tc>
          <w:tcPr>
            <w:tcW w:w="1247" w:type="dxa"/>
            <w:vAlign w:val="center"/>
          </w:tcPr>
          <w:p w14:paraId="62460D64" w14:textId="1CAD76CB" w:rsidR="00362CB9" w:rsidRPr="00500D7B" w:rsidRDefault="003E6700" w:rsidP="00500D7B">
            <w:pPr>
              <w:jc w:val="both"/>
              <w:rPr>
                <w:b/>
                <w:bCs/>
              </w:rPr>
            </w:pPr>
            <w:r w:rsidRPr="00500D7B">
              <w:rPr>
                <w:b/>
                <w:bCs/>
              </w:rPr>
              <w:t>November</w:t>
            </w:r>
          </w:p>
        </w:tc>
        <w:tc>
          <w:tcPr>
            <w:tcW w:w="1225" w:type="dxa"/>
            <w:vAlign w:val="center"/>
          </w:tcPr>
          <w:p w14:paraId="347C9310" w14:textId="7D363CA5" w:rsidR="00362CB9" w:rsidRPr="00500D7B" w:rsidRDefault="003E6700" w:rsidP="00500D7B">
            <w:pPr>
              <w:jc w:val="both"/>
              <w:rPr>
                <w:b/>
                <w:bCs/>
              </w:rPr>
            </w:pPr>
            <w:r w:rsidRPr="00500D7B">
              <w:rPr>
                <w:b/>
                <w:bCs/>
              </w:rPr>
              <w:t>December</w:t>
            </w:r>
          </w:p>
        </w:tc>
        <w:tc>
          <w:tcPr>
            <w:tcW w:w="967" w:type="dxa"/>
            <w:vAlign w:val="center"/>
          </w:tcPr>
          <w:p w14:paraId="2A22AF92" w14:textId="343DFB46" w:rsidR="00362CB9" w:rsidRPr="00500D7B" w:rsidRDefault="003E6700" w:rsidP="00500D7B">
            <w:pPr>
              <w:jc w:val="both"/>
              <w:rPr>
                <w:b/>
                <w:bCs/>
              </w:rPr>
            </w:pPr>
            <w:r w:rsidRPr="00500D7B">
              <w:rPr>
                <w:b/>
                <w:bCs/>
              </w:rPr>
              <w:t>January</w:t>
            </w:r>
          </w:p>
        </w:tc>
      </w:tr>
      <w:tr w:rsidR="00362CB9" w14:paraId="538B97BC" w14:textId="77777777" w:rsidTr="003F36DA">
        <w:trPr>
          <w:trHeight w:hRule="exact" w:val="360"/>
        </w:trPr>
        <w:tc>
          <w:tcPr>
            <w:tcW w:w="4945" w:type="dxa"/>
            <w:vAlign w:val="bottom"/>
          </w:tcPr>
          <w:p w14:paraId="5C66E9FC" w14:textId="0D381722" w:rsidR="00362CB9" w:rsidRDefault="00362CB9" w:rsidP="00362CB9">
            <w:pPr>
              <w:spacing w:before="120" w:after="120"/>
              <w:jc w:val="both"/>
            </w:pPr>
            <w:r>
              <w:rPr>
                <w:rFonts w:ascii="Calibri" w:hAnsi="Calibri" w:cs="Calibri"/>
                <w:color w:val="000000"/>
                <w:sz w:val="22"/>
              </w:rPr>
              <w:t>Total Cash at Start of Month</w:t>
            </w:r>
            <w:r w:rsidR="00C31CEE">
              <w:rPr>
                <w:rFonts w:ascii="Calibri" w:hAnsi="Calibri" w:cs="Calibri"/>
                <w:color w:val="000000"/>
                <w:sz w:val="22"/>
              </w:rPr>
              <w:t xml:space="preserve"> (1)</w:t>
            </w:r>
          </w:p>
        </w:tc>
        <w:tc>
          <w:tcPr>
            <w:tcW w:w="293" w:type="dxa"/>
          </w:tcPr>
          <w:p w14:paraId="732B3CFD" w14:textId="77777777" w:rsidR="00362CB9" w:rsidRDefault="00362CB9" w:rsidP="00362CB9">
            <w:pPr>
              <w:spacing w:before="120" w:after="120"/>
              <w:jc w:val="both"/>
            </w:pPr>
          </w:p>
        </w:tc>
        <w:tc>
          <w:tcPr>
            <w:tcW w:w="1247" w:type="dxa"/>
          </w:tcPr>
          <w:p w14:paraId="5CCFAAF2" w14:textId="77777777" w:rsidR="00362CB9" w:rsidRDefault="00362CB9" w:rsidP="00362CB9">
            <w:pPr>
              <w:spacing w:before="120" w:after="120"/>
              <w:jc w:val="both"/>
            </w:pPr>
          </w:p>
        </w:tc>
        <w:tc>
          <w:tcPr>
            <w:tcW w:w="1225" w:type="dxa"/>
          </w:tcPr>
          <w:p w14:paraId="25DDFBA1" w14:textId="77777777" w:rsidR="00362CB9" w:rsidRDefault="00362CB9" w:rsidP="00362CB9">
            <w:pPr>
              <w:spacing w:before="120" w:after="120"/>
              <w:jc w:val="both"/>
            </w:pPr>
          </w:p>
        </w:tc>
        <w:tc>
          <w:tcPr>
            <w:tcW w:w="967" w:type="dxa"/>
          </w:tcPr>
          <w:p w14:paraId="500B10AD" w14:textId="77777777" w:rsidR="00362CB9" w:rsidRDefault="00362CB9" w:rsidP="00362CB9">
            <w:pPr>
              <w:spacing w:before="120" w:after="120"/>
              <w:jc w:val="both"/>
            </w:pPr>
          </w:p>
        </w:tc>
      </w:tr>
      <w:tr w:rsidR="00362CB9" w14:paraId="03764199" w14:textId="77777777" w:rsidTr="003F36DA">
        <w:trPr>
          <w:trHeight w:hRule="exact" w:val="360"/>
        </w:trPr>
        <w:tc>
          <w:tcPr>
            <w:tcW w:w="4945" w:type="dxa"/>
            <w:vAlign w:val="bottom"/>
          </w:tcPr>
          <w:p w14:paraId="2D48EDCD" w14:textId="2F359198" w:rsidR="00362CB9" w:rsidRDefault="00362CB9" w:rsidP="00362CB9">
            <w:pPr>
              <w:spacing w:before="120" w:after="120"/>
              <w:jc w:val="both"/>
            </w:pPr>
            <w:r>
              <w:rPr>
                <w:rFonts w:ascii="Calibri" w:hAnsi="Calibri" w:cs="Calibri"/>
                <w:color w:val="000000"/>
                <w:sz w:val="22"/>
              </w:rPr>
              <w:t>Reserve*</w:t>
            </w:r>
            <w:r w:rsidR="00C31CEE">
              <w:rPr>
                <w:rFonts w:ascii="Calibri" w:hAnsi="Calibri" w:cs="Calibri"/>
                <w:color w:val="000000"/>
                <w:sz w:val="22"/>
              </w:rPr>
              <w:t xml:space="preserve"> (2)</w:t>
            </w:r>
          </w:p>
        </w:tc>
        <w:tc>
          <w:tcPr>
            <w:tcW w:w="293" w:type="dxa"/>
          </w:tcPr>
          <w:p w14:paraId="61D79787" w14:textId="77777777" w:rsidR="00362CB9" w:rsidRDefault="00362CB9" w:rsidP="00362CB9">
            <w:pPr>
              <w:spacing w:before="120" w:after="120"/>
              <w:jc w:val="both"/>
            </w:pPr>
          </w:p>
        </w:tc>
        <w:tc>
          <w:tcPr>
            <w:tcW w:w="1247" w:type="dxa"/>
          </w:tcPr>
          <w:p w14:paraId="26DD0FE1" w14:textId="77777777" w:rsidR="00362CB9" w:rsidRDefault="00362CB9" w:rsidP="00362CB9">
            <w:pPr>
              <w:spacing w:before="120" w:after="120"/>
              <w:jc w:val="both"/>
            </w:pPr>
          </w:p>
        </w:tc>
        <w:tc>
          <w:tcPr>
            <w:tcW w:w="1225" w:type="dxa"/>
          </w:tcPr>
          <w:p w14:paraId="09B6EB8E" w14:textId="77777777" w:rsidR="00362CB9" w:rsidRDefault="00362CB9" w:rsidP="00362CB9">
            <w:pPr>
              <w:spacing w:before="120" w:after="120"/>
              <w:jc w:val="both"/>
            </w:pPr>
          </w:p>
        </w:tc>
        <w:tc>
          <w:tcPr>
            <w:tcW w:w="967" w:type="dxa"/>
          </w:tcPr>
          <w:p w14:paraId="49775EA2" w14:textId="77777777" w:rsidR="00362CB9" w:rsidRDefault="00362CB9" w:rsidP="00362CB9">
            <w:pPr>
              <w:spacing w:before="120" w:after="120"/>
              <w:jc w:val="both"/>
            </w:pPr>
          </w:p>
        </w:tc>
      </w:tr>
      <w:tr w:rsidR="00362CB9" w14:paraId="304494E6" w14:textId="77777777" w:rsidTr="003F36DA">
        <w:trPr>
          <w:trHeight w:hRule="exact" w:val="360"/>
        </w:trPr>
        <w:tc>
          <w:tcPr>
            <w:tcW w:w="4945" w:type="dxa"/>
            <w:vAlign w:val="bottom"/>
          </w:tcPr>
          <w:p w14:paraId="6ABF4EC4" w14:textId="7D916799" w:rsidR="00362CB9" w:rsidRDefault="00362CB9" w:rsidP="00362CB9">
            <w:pPr>
              <w:spacing w:before="120" w:after="12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Cash Available</w:t>
            </w:r>
            <w:r w:rsidR="00C31CEE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(1-2)</w:t>
            </w:r>
            <w:r w:rsidR="005B5D54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(A)</w:t>
            </w:r>
          </w:p>
        </w:tc>
        <w:tc>
          <w:tcPr>
            <w:tcW w:w="293" w:type="dxa"/>
          </w:tcPr>
          <w:p w14:paraId="483D9A48" w14:textId="77777777" w:rsidR="00362CB9" w:rsidRDefault="00362CB9" w:rsidP="00362CB9">
            <w:pPr>
              <w:spacing w:before="120" w:after="120"/>
              <w:jc w:val="both"/>
            </w:pPr>
          </w:p>
        </w:tc>
        <w:tc>
          <w:tcPr>
            <w:tcW w:w="1247" w:type="dxa"/>
          </w:tcPr>
          <w:p w14:paraId="7E549744" w14:textId="77777777" w:rsidR="00362CB9" w:rsidRDefault="00362CB9" w:rsidP="00362CB9">
            <w:pPr>
              <w:spacing w:before="120" w:after="120"/>
              <w:jc w:val="both"/>
            </w:pPr>
          </w:p>
        </w:tc>
        <w:tc>
          <w:tcPr>
            <w:tcW w:w="1225" w:type="dxa"/>
          </w:tcPr>
          <w:p w14:paraId="0E3C071D" w14:textId="77777777" w:rsidR="00362CB9" w:rsidRDefault="00362CB9" w:rsidP="00362CB9">
            <w:pPr>
              <w:spacing w:before="120" w:after="120"/>
              <w:jc w:val="both"/>
            </w:pPr>
          </w:p>
        </w:tc>
        <w:tc>
          <w:tcPr>
            <w:tcW w:w="967" w:type="dxa"/>
          </w:tcPr>
          <w:p w14:paraId="2FE99D4E" w14:textId="77777777" w:rsidR="00362CB9" w:rsidRDefault="00362CB9" w:rsidP="00362CB9">
            <w:pPr>
              <w:spacing w:before="120" w:after="120"/>
              <w:jc w:val="both"/>
            </w:pPr>
          </w:p>
        </w:tc>
      </w:tr>
      <w:tr w:rsidR="00362CB9" w14:paraId="699EA53B" w14:textId="77777777" w:rsidTr="003E6700">
        <w:trPr>
          <w:trHeight w:hRule="exact" w:val="72"/>
        </w:trPr>
        <w:tc>
          <w:tcPr>
            <w:tcW w:w="4945" w:type="dxa"/>
            <w:shd w:val="clear" w:color="auto" w:fill="B22600" w:themeFill="accent6"/>
          </w:tcPr>
          <w:p w14:paraId="5211140B" w14:textId="77777777" w:rsidR="00362CB9" w:rsidRDefault="00362CB9" w:rsidP="002924BB">
            <w:pPr>
              <w:spacing w:before="120" w:after="120"/>
              <w:jc w:val="both"/>
            </w:pPr>
          </w:p>
        </w:tc>
        <w:tc>
          <w:tcPr>
            <w:tcW w:w="293" w:type="dxa"/>
            <w:shd w:val="clear" w:color="auto" w:fill="B22600" w:themeFill="accent6"/>
          </w:tcPr>
          <w:p w14:paraId="743AD7B0" w14:textId="77777777" w:rsidR="00362CB9" w:rsidRDefault="00362CB9" w:rsidP="002924BB">
            <w:pPr>
              <w:spacing w:before="120" w:after="120"/>
              <w:jc w:val="both"/>
            </w:pPr>
          </w:p>
        </w:tc>
        <w:tc>
          <w:tcPr>
            <w:tcW w:w="1247" w:type="dxa"/>
            <w:shd w:val="clear" w:color="auto" w:fill="B22600" w:themeFill="accent6"/>
          </w:tcPr>
          <w:p w14:paraId="10717825" w14:textId="77777777" w:rsidR="00362CB9" w:rsidRDefault="00362CB9" w:rsidP="002924BB">
            <w:pPr>
              <w:spacing w:before="120" w:after="120"/>
              <w:jc w:val="both"/>
            </w:pPr>
          </w:p>
        </w:tc>
        <w:tc>
          <w:tcPr>
            <w:tcW w:w="1225" w:type="dxa"/>
            <w:shd w:val="clear" w:color="auto" w:fill="B22600" w:themeFill="accent6"/>
          </w:tcPr>
          <w:p w14:paraId="6C1AEAFF" w14:textId="77777777" w:rsidR="00362CB9" w:rsidRDefault="00362CB9" w:rsidP="002924BB">
            <w:pPr>
              <w:spacing w:before="120" w:after="120"/>
              <w:jc w:val="both"/>
            </w:pPr>
          </w:p>
        </w:tc>
        <w:tc>
          <w:tcPr>
            <w:tcW w:w="967" w:type="dxa"/>
            <w:shd w:val="clear" w:color="auto" w:fill="B22600" w:themeFill="accent6"/>
          </w:tcPr>
          <w:p w14:paraId="5FB62462" w14:textId="77777777" w:rsidR="00362CB9" w:rsidRDefault="00362CB9" w:rsidP="002924BB">
            <w:pPr>
              <w:spacing w:before="120" w:after="120"/>
              <w:jc w:val="both"/>
            </w:pPr>
          </w:p>
        </w:tc>
      </w:tr>
      <w:tr w:rsidR="00362CB9" w14:paraId="345F4858" w14:textId="77777777" w:rsidTr="003E6700">
        <w:tc>
          <w:tcPr>
            <w:tcW w:w="4945" w:type="dxa"/>
            <w:vAlign w:val="bottom"/>
          </w:tcPr>
          <w:p w14:paraId="24A2CEBA" w14:textId="389F460F" w:rsidR="003E6700" w:rsidRDefault="00362CB9" w:rsidP="003E670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Money Received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C31CEE" w:rsidRPr="00C31CEE">
              <w:rPr>
                <w:rFonts w:ascii="Calibri" w:hAnsi="Calibri" w:cs="Calibri"/>
                <w:b/>
                <w:bCs/>
                <w:color w:val="000000"/>
                <w:sz w:val="22"/>
              </w:rPr>
              <w:t>(B)</w:t>
            </w:r>
          </w:p>
          <w:p w14:paraId="0635BC47" w14:textId="029C603C" w:rsidR="00362CB9" w:rsidRPr="00500D7B" w:rsidRDefault="00362CB9" w:rsidP="003E67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D7B">
              <w:rPr>
                <w:rFonts w:ascii="Calibri" w:hAnsi="Calibri" w:cs="Calibri"/>
                <w:color w:val="000000"/>
                <w:sz w:val="20"/>
                <w:szCs w:val="20"/>
              </w:rPr>
              <w:t>(Grants, Contributions, Program Revenue, Sales, Investments, Loans</w:t>
            </w:r>
            <w:r w:rsidR="00500D7B" w:rsidRPr="00500D7B">
              <w:rPr>
                <w:rFonts w:ascii="Calibri" w:hAnsi="Calibri" w:cs="Calibri"/>
                <w:color w:val="000000"/>
                <w:sz w:val="20"/>
                <w:szCs w:val="20"/>
              </w:rPr>
              <w:t>, Etc.</w:t>
            </w:r>
            <w:r w:rsidRPr="00500D7B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3" w:type="dxa"/>
          </w:tcPr>
          <w:p w14:paraId="56849C39" w14:textId="77777777" w:rsidR="00362CB9" w:rsidRDefault="00362CB9" w:rsidP="00362CB9">
            <w:pPr>
              <w:spacing w:before="120" w:after="120"/>
              <w:jc w:val="both"/>
            </w:pPr>
          </w:p>
        </w:tc>
        <w:tc>
          <w:tcPr>
            <w:tcW w:w="1247" w:type="dxa"/>
          </w:tcPr>
          <w:p w14:paraId="386A2BE5" w14:textId="77777777" w:rsidR="00362CB9" w:rsidRDefault="00362CB9" w:rsidP="00362CB9">
            <w:pPr>
              <w:spacing w:before="120" w:after="120"/>
              <w:jc w:val="both"/>
            </w:pPr>
          </w:p>
        </w:tc>
        <w:tc>
          <w:tcPr>
            <w:tcW w:w="1225" w:type="dxa"/>
          </w:tcPr>
          <w:p w14:paraId="5C22CD53" w14:textId="77777777" w:rsidR="00362CB9" w:rsidRDefault="00362CB9" w:rsidP="00362CB9">
            <w:pPr>
              <w:spacing w:before="120" w:after="120"/>
              <w:jc w:val="both"/>
            </w:pPr>
          </w:p>
        </w:tc>
        <w:tc>
          <w:tcPr>
            <w:tcW w:w="967" w:type="dxa"/>
          </w:tcPr>
          <w:p w14:paraId="3E2BE0E3" w14:textId="77777777" w:rsidR="00362CB9" w:rsidRDefault="00362CB9" w:rsidP="00362CB9">
            <w:pPr>
              <w:spacing w:before="120" w:after="120"/>
              <w:jc w:val="both"/>
            </w:pPr>
          </w:p>
        </w:tc>
      </w:tr>
      <w:tr w:rsidR="00362CB9" w14:paraId="20DB37D2" w14:textId="77777777" w:rsidTr="003E6700">
        <w:tc>
          <w:tcPr>
            <w:tcW w:w="4945" w:type="dxa"/>
            <w:vAlign w:val="bottom"/>
          </w:tcPr>
          <w:p w14:paraId="278D5744" w14:textId="09B43281" w:rsidR="003E6700" w:rsidRDefault="00362CB9" w:rsidP="003E670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Money Spent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C31CEE" w:rsidRPr="00C31CEE">
              <w:rPr>
                <w:rFonts w:ascii="Calibri" w:hAnsi="Calibri" w:cs="Calibri"/>
                <w:b/>
                <w:bCs/>
                <w:color w:val="000000"/>
                <w:sz w:val="22"/>
              </w:rPr>
              <w:t>(C)</w:t>
            </w:r>
          </w:p>
          <w:p w14:paraId="466736AE" w14:textId="4935CE65" w:rsidR="00362CB9" w:rsidRPr="00500D7B" w:rsidRDefault="00362CB9" w:rsidP="003E6700">
            <w:pPr>
              <w:rPr>
                <w:sz w:val="20"/>
                <w:szCs w:val="20"/>
              </w:rPr>
            </w:pPr>
            <w:r w:rsidRPr="00500D7B">
              <w:rPr>
                <w:rFonts w:ascii="Calibri" w:hAnsi="Calibri" w:cs="Calibri"/>
                <w:color w:val="000000"/>
                <w:sz w:val="20"/>
                <w:szCs w:val="20"/>
              </w:rPr>
              <w:t>(Personnel, Occupancy, Program, Administrative</w:t>
            </w:r>
            <w:r w:rsidR="00500D7B" w:rsidRPr="00500D7B">
              <w:rPr>
                <w:rFonts w:ascii="Calibri" w:hAnsi="Calibri" w:cs="Calibri"/>
                <w:color w:val="000000"/>
                <w:sz w:val="20"/>
                <w:szCs w:val="20"/>
              </w:rPr>
              <w:t>, Etc.</w:t>
            </w:r>
            <w:r w:rsidR="00886B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 w:rsidR="00886BE1" w:rsidRPr="00886BE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Include PCNPF Funds</w:t>
            </w:r>
          </w:p>
        </w:tc>
        <w:tc>
          <w:tcPr>
            <w:tcW w:w="293" w:type="dxa"/>
          </w:tcPr>
          <w:p w14:paraId="00A97B78" w14:textId="77777777" w:rsidR="00362CB9" w:rsidRDefault="00362CB9" w:rsidP="00362CB9">
            <w:pPr>
              <w:spacing w:before="120" w:after="120"/>
              <w:jc w:val="both"/>
            </w:pPr>
          </w:p>
        </w:tc>
        <w:tc>
          <w:tcPr>
            <w:tcW w:w="1247" w:type="dxa"/>
          </w:tcPr>
          <w:p w14:paraId="00F25E4C" w14:textId="77777777" w:rsidR="00362CB9" w:rsidRDefault="00362CB9" w:rsidP="00362CB9">
            <w:pPr>
              <w:spacing w:before="120" w:after="120"/>
              <w:jc w:val="both"/>
            </w:pPr>
          </w:p>
        </w:tc>
        <w:tc>
          <w:tcPr>
            <w:tcW w:w="1225" w:type="dxa"/>
          </w:tcPr>
          <w:p w14:paraId="6D1849D2" w14:textId="77777777" w:rsidR="00362CB9" w:rsidRDefault="00362CB9" w:rsidP="00362CB9">
            <w:pPr>
              <w:spacing w:before="120" w:after="120"/>
              <w:jc w:val="both"/>
            </w:pPr>
          </w:p>
        </w:tc>
        <w:tc>
          <w:tcPr>
            <w:tcW w:w="967" w:type="dxa"/>
          </w:tcPr>
          <w:p w14:paraId="57D4FC2D" w14:textId="77777777" w:rsidR="00362CB9" w:rsidRDefault="00362CB9" w:rsidP="00362CB9">
            <w:pPr>
              <w:spacing w:before="120" w:after="120"/>
              <w:jc w:val="both"/>
            </w:pPr>
          </w:p>
        </w:tc>
      </w:tr>
      <w:tr w:rsidR="00362CB9" w14:paraId="72CD3966" w14:textId="77777777" w:rsidTr="00886BE1">
        <w:trPr>
          <w:trHeight w:hRule="exact" w:val="360"/>
        </w:trPr>
        <w:tc>
          <w:tcPr>
            <w:tcW w:w="4945" w:type="dxa"/>
            <w:vAlign w:val="bottom"/>
          </w:tcPr>
          <w:p w14:paraId="14F9353B" w14:textId="29C75C85" w:rsidR="00362CB9" w:rsidRDefault="00362CB9" w:rsidP="00886BE1"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Cash Remaining (Cash Flow)</w:t>
            </w:r>
            <w:r w:rsidR="00C31CEE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(A+B-C)</w:t>
            </w:r>
          </w:p>
        </w:tc>
        <w:tc>
          <w:tcPr>
            <w:tcW w:w="293" w:type="dxa"/>
          </w:tcPr>
          <w:p w14:paraId="377BC5EA" w14:textId="77777777" w:rsidR="00362CB9" w:rsidRDefault="00362CB9" w:rsidP="00886BE1">
            <w:pPr>
              <w:jc w:val="both"/>
            </w:pPr>
          </w:p>
        </w:tc>
        <w:tc>
          <w:tcPr>
            <w:tcW w:w="1247" w:type="dxa"/>
          </w:tcPr>
          <w:p w14:paraId="226485AA" w14:textId="77777777" w:rsidR="00362CB9" w:rsidRDefault="00362CB9" w:rsidP="00886BE1">
            <w:pPr>
              <w:jc w:val="both"/>
            </w:pPr>
          </w:p>
        </w:tc>
        <w:tc>
          <w:tcPr>
            <w:tcW w:w="1225" w:type="dxa"/>
          </w:tcPr>
          <w:p w14:paraId="05689491" w14:textId="77777777" w:rsidR="00362CB9" w:rsidRDefault="00362CB9" w:rsidP="00886BE1">
            <w:pPr>
              <w:jc w:val="both"/>
            </w:pPr>
          </w:p>
        </w:tc>
        <w:tc>
          <w:tcPr>
            <w:tcW w:w="967" w:type="dxa"/>
          </w:tcPr>
          <w:p w14:paraId="18182EEF" w14:textId="77777777" w:rsidR="00362CB9" w:rsidRDefault="00362CB9" w:rsidP="00886BE1">
            <w:pPr>
              <w:jc w:val="both"/>
            </w:pPr>
          </w:p>
        </w:tc>
      </w:tr>
    </w:tbl>
    <w:p w14:paraId="68419C61" w14:textId="69E982F3" w:rsidR="00B42CEC" w:rsidRDefault="003E6700" w:rsidP="003E6700">
      <w:pPr>
        <w:spacing w:before="120"/>
        <w:jc w:val="both"/>
        <w:rPr>
          <w:i/>
          <w:iCs/>
          <w:sz w:val="18"/>
          <w:szCs w:val="18"/>
        </w:rPr>
      </w:pPr>
      <w:r>
        <w:tab/>
      </w:r>
      <w:r w:rsidRPr="00726F72">
        <w:rPr>
          <w:sz w:val="18"/>
          <w:szCs w:val="18"/>
        </w:rPr>
        <w:t xml:space="preserve">* </w:t>
      </w:r>
      <w:r w:rsidR="00726F72" w:rsidRPr="00726F72">
        <w:rPr>
          <w:i/>
          <w:iCs/>
          <w:sz w:val="18"/>
          <w:szCs w:val="18"/>
        </w:rPr>
        <w:t>Applicant may set aside reasonable cash reserve for organizational exigencies</w:t>
      </w:r>
    </w:p>
    <w:p w14:paraId="3A2E5E7A" w14:textId="52E8B0B2" w:rsidR="00726F72" w:rsidRPr="00726F72" w:rsidRDefault="00726F72" w:rsidP="00726F72">
      <w:pPr>
        <w:spacing w:before="120" w:after="120"/>
        <w:jc w:val="both"/>
        <w:rPr>
          <w:i/>
          <w:iCs/>
          <w:color w:val="B22600" w:themeColor="accent6"/>
          <w:sz w:val="28"/>
          <w:szCs w:val="28"/>
        </w:rPr>
      </w:pPr>
      <w:r w:rsidRPr="00726F72">
        <w:rPr>
          <w:i/>
          <w:iCs/>
          <w:color w:val="B22600" w:themeColor="accent6"/>
          <w:sz w:val="28"/>
          <w:szCs w:val="28"/>
        </w:rPr>
        <w:t>Required Documents (Submit with Application)</w:t>
      </w:r>
    </w:p>
    <w:p w14:paraId="3E260560" w14:textId="60729626" w:rsidR="00726F72" w:rsidRPr="00A717E8" w:rsidRDefault="00A25EC5" w:rsidP="00726F72">
      <w:pPr>
        <w:ind w:left="360"/>
        <w:rPr>
          <w:sz w:val="22"/>
        </w:rPr>
      </w:pPr>
      <w:sdt>
        <w:sdtPr>
          <w:rPr>
            <w:sz w:val="22"/>
          </w:rPr>
          <w:id w:val="199938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F72" w:rsidRPr="00A717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26F72" w:rsidRPr="00A717E8">
        <w:rPr>
          <w:sz w:val="22"/>
        </w:rPr>
        <w:t xml:space="preserve"> </w:t>
      </w:r>
      <w:r w:rsidR="00726F72" w:rsidRPr="00A717E8">
        <w:rPr>
          <w:sz w:val="22"/>
        </w:rPr>
        <w:tab/>
        <w:t>Executed PCNPF Grant Agreement</w:t>
      </w:r>
    </w:p>
    <w:p w14:paraId="43CF72E8" w14:textId="42DBF8DC" w:rsidR="00726F72" w:rsidRPr="00A717E8" w:rsidRDefault="00A25EC5" w:rsidP="00726F72">
      <w:pPr>
        <w:ind w:left="360"/>
        <w:rPr>
          <w:sz w:val="22"/>
        </w:rPr>
      </w:pPr>
      <w:sdt>
        <w:sdtPr>
          <w:rPr>
            <w:sz w:val="22"/>
          </w:rPr>
          <w:id w:val="89416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F72" w:rsidRPr="00A717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26F72" w:rsidRPr="00A717E8">
        <w:rPr>
          <w:sz w:val="22"/>
        </w:rPr>
        <w:tab/>
        <w:t>Prior 3-</w:t>
      </w:r>
      <w:r w:rsidR="0082514E">
        <w:rPr>
          <w:sz w:val="22"/>
        </w:rPr>
        <w:t>M</w:t>
      </w:r>
      <w:r w:rsidR="00726F72" w:rsidRPr="00A717E8">
        <w:rPr>
          <w:sz w:val="22"/>
        </w:rPr>
        <w:t>onths Bank Statements</w:t>
      </w:r>
    </w:p>
    <w:p w14:paraId="03DD0801" w14:textId="3C3D8D4F" w:rsidR="00886BE1" w:rsidRPr="00886BE1" w:rsidRDefault="00886BE1" w:rsidP="00886BE1">
      <w:pPr>
        <w:spacing w:before="120" w:after="120"/>
        <w:rPr>
          <w:i/>
          <w:iCs/>
          <w:color w:val="B22600" w:themeColor="accent6"/>
          <w:sz w:val="28"/>
          <w:szCs w:val="28"/>
        </w:rPr>
      </w:pPr>
      <w:r w:rsidRPr="00886BE1">
        <w:rPr>
          <w:i/>
          <w:iCs/>
          <w:color w:val="B22600" w:themeColor="accent6"/>
          <w:sz w:val="28"/>
          <w:szCs w:val="28"/>
        </w:rPr>
        <w:t>Submission</w:t>
      </w:r>
    </w:p>
    <w:p w14:paraId="3585772F" w14:textId="5359B1E1" w:rsidR="00886BE1" w:rsidRPr="0082514E" w:rsidRDefault="00886BE1" w:rsidP="00886BE1">
      <w:pPr>
        <w:spacing w:before="120" w:after="120"/>
        <w:rPr>
          <w:b/>
          <w:bCs/>
          <w:sz w:val="22"/>
        </w:rPr>
      </w:pPr>
      <w:r w:rsidRPr="0082514E">
        <w:rPr>
          <w:b/>
          <w:bCs/>
          <w:sz w:val="22"/>
        </w:rPr>
        <w:t>By submitting application, applicant certifies that the information included is true and correct, or a good faith estimate.</w:t>
      </w:r>
    </w:p>
    <w:sectPr w:rsidR="00886BE1" w:rsidRPr="0082514E" w:rsidSect="00A10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C77C5" w14:textId="77777777" w:rsidR="00A25EC5" w:rsidRDefault="00A25EC5" w:rsidP="00A10399">
      <w:r>
        <w:separator/>
      </w:r>
    </w:p>
  </w:endnote>
  <w:endnote w:type="continuationSeparator" w:id="0">
    <w:p w14:paraId="46C7512D" w14:textId="77777777" w:rsidR="00A25EC5" w:rsidRDefault="00A25EC5" w:rsidP="00A1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B977" w14:textId="77777777" w:rsidR="00AD7309" w:rsidRDefault="00AD7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3401" w14:textId="77777777" w:rsidR="00AD7309" w:rsidRDefault="00AD7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78BA" w14:textId="77777777" w:rsidR="00AD7309" w:rsidRDefault="00AD7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006A5" w14:textId="77777777" w:rsidR="00A25EC5" w:rsidRDefault="00A25EC5" w:rsidP="00A10399">
      <w:r>
        <w:separator/>
      </w:r>
    </w:p>
  </w:footnote>
  <w:footnote w:type="continuationSeparator" w:id="0">
    <w:p w14:paraId="3F352663" w14:textId="77777777" w:rsidR="00A25EC5" w:rsidRDefault="00A25EC5" w:rsidP="00A1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694A" w14:textId="77777777" w:rsidR="00AD7309" w:rsidRDefault="00AD7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A747" w14:textId="77777777" w:rsidR="00AD7309" w:rsidRDefault="00AD7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D936E" w14:textId="77777777" w:rsidR="00AD7309" w:rsidRDefault="00A10399" w:rsidP="00AD7309">
    <w:pPr>
      <w:pStyle w:val="Heading1"/>
      <w:spacing w:before="0"/>
      <w:jc w:val="center"/>
      <w:rPr>
        <w:b/>
        <w:bCs/>
        <w:color w:val="851C00" w:themeColor="accent6" w:themeShade="BF"/>
      </w:rPr>
    </w:pPr>
    <w:r w:rsidRPr="00801127">
      <w:rPr>
        <w:b/>
        <w:bCs/>
        <w:color w:val="851C00" w:themeColor="accent6" w:themeShade="BF"/>
      </w:rPr>
      <w:t xml:space="preserve">Pinellas Working Capital Fund </w:t>
    </w:r>
  </w:p>
  <w:p w14:paraId="05CDD454" w14:textId="7CF681B7" w:rsidR="00A10399" w:rsidRDefault="00AD7309" w:rsidP="00AD7309">
    <w:pPr>
      <w:pStyle w:val="Heading1"/>
      <w:spacing w:before="0"/>
      <w:jc w:val="center"/>
      <w:rPr>
        <w:b/>
        <w:bCs/>
        <w:color w:val="851C00" w:themeColor="accent6" w:themeShade="BF"/>
      </w:rPr>
    </w:pPr>
    <w:r>
      <w:rPr>
        <w:b/>
        <w:bCs/>
        <w:color w:val="851C00" w:themeColor="accent6" w:themeShade="BF"/>
      </w:rPr>
      <w:t xml:space="preserve">Loan </w:t>
    </w:r>
    <w:r w:rsidR="00A10399" w:rsidRPr="00801127">
      <w:rPr>
        <w:b/>
        <w:bCs/>
        <w:color w:val="851C00" w:themeColor="accent6" w:themeShade="BF"/>
      </w:rPr>
      <w:t>Application</w:t>
    </w:r>
  </w:p>
  <w:p w14:paraId="50525603" w14:textId="77777777" w:rsidR="00A10399" w:rsidRDefault="00A10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B57E4"/>
    <w:multiLevelType w:val="hybridMultilevel"/>
    <w:tmpl w:val="2D9E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3EC"/>
    <w:multiLevelType w:val="hybridMultilevel"/>
    <w:tmpl w:val="C6CE739A"/>
    <w:lvl w:ilvl="0" w:tplc="FE5CCC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27"/>
    <w:rsid w:val="000A0442"/>
    <w:rsid w:val="000A5E4C"/>
    <w:rsid w:val="000E0C17"/>
    <w:rsid w:val="001874AD"/>
    <w:rsid w:val="002924BB"/>
    <w:rsid w:val="002F68AC"/>
    <w:rsid w:val="00362CB9"/>
    <w:rsid w:val="003633BE"/>
    <w:rsid w:val="003E6700"/>
    <w:rsid w:val="003F36DA"/>
    <w:rsid w:val="00447166"/>
    <w:rsid w:val="004575B4"/>
    <w:rsid w:val="00500D7B"/>
    <w:rsid w:val="00551B24"/>
    <w:rsid w:val="005767E8"/>
    <w:rsid w:val="00585918"/>
    <w:rsid w:val="005B5D54"/>
    <w:rsid w:val="005E0F34"/>
    <w:rsid w:val="00624310"/>
    <w:rsid w:val="006E309D"/>
    <w:rsid w:val="00726F72"/>
    <w:rsid w:val="007B09F4"/>
    <w:rsid w:val="00801127"/>
    <w:rsid w:val="0082514E"/>
    <w:rsid w:val="00873193"/>
    <w:rsid w:val="00886BE1"/>
    <w:rsid w:val="00932E2B"/>
    <w:rsid w:val="00A10399"/>
    <w:rsid w:val="00A23EFF"/>
    <w:rsid w:val="00A25EC5"/>
    <w:rsid w:val="00A717E8"/>
    <w:rsid w:val="00AD7309"/>
    <w:rsid w:val="00B42CEC"/>
    <w:rsid w:val="00C31CEE"/>
    <w:rsid w:val="00C54EB9"/>
    <w:rsid w:val="00C93F8B"/>
    <w:rsid w:val="00CB23F5"/>
    <w:rsid w:val="00E21B8A"/>
    <w:rsid w:val="00E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C00AC"/>
  <w15:chartTrackingRefBased/>
  <w15:docId w15:val="{8A1B4391-B5B5-42B5-A47A-3FDA4B6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1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127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3EFF"/>
    <w:pPr>
      <w:ind w:left="720"/>
      <w:contextualSpacing/>
    </w:pPr>
    <w:rPr>
      <w:szCs w:val="24"/>
    </w:rPr>
  </w:style>
  <w:style w:type="table" w:styleId="TableGrid">
    <w:name w:val="Table Grid"/>
    <w:basedOn w:val="TableNormal"/>
    <w:uiPriority w:val="39"/>
    <w:rsid w:val="0036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399"/>
  </w:style>
  <w:style w:type="paragraph" w:styleId="Footer">
    <w:name w:val="footer"/>
    <w:basedOn w:val="Normal"/>
    <w:link w:val="FooterChar"/>
    <w:uiPriority w:val="99"/>
    <w:unhideWhenUsed/>
    <w:rsid w:val="00A10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399"/>
  </w:style>
  <w:style w:type="character" w:styleId="CommentReference">
    <w:name w:val="annotation reference"/>
    <w:basedOn w:val="DefaultParagraphFont"/>
    <w:uiPriority w:val="99"/>
    <w:semiHidden/>
    <w:unhideWhenUsed/>
    <w:rsid w:val="005B5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D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9868-F7CE-4399-9698-78CF2D72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Wilhoite</dc:creator>
  <cp:keywords/>
  <dc:description/>
  <cp:lastModifiedBy>Brenton</cp:lastModifiedBy>
  <cp:revision>2</cp:revision>
  <dcterms:created xsi:type="dcterms:W3CDTF">2020-10-21T13:20:00Z</dcterms:created>
  <dcterms:modified xsi:type="dcterms:W3CDTF">2020-10-21T13:20:00Z</dcterms:modified>
</cp:coreProperties>
</file>